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13</w:t>
      </w:r>
      <w:r>
        <w:rPr>
          <w:rFonts w:ascii="Arial" w:hAnsi="Arial" w:cs="Arial"/>
          <w:b/>
        </w:rPr>
        <w:tab/>
      </w:r>
      <w:r>
        <w:rPr>
          <w:rFonts w:ascii="Arial" w:hAnsi="Arial" w:cs="Arial"/>
          <w:b/>
          <w:bCs/>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lang w:val="en-US" w:eastAsia="zh-CN"/>
        </w:rPr>
        <w:t>418435</w:t>
      </w:r>
    </w:p>
    <w:p>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p>
      <w:pPr>
        <w:tabs>
          <w:tab w:val="left" w:pos="1765"/>
          <w:tab w:val="center" w:pos="4557"/>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7.26.4.2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w:t>
      </w:r>
      <w:bookmarkEnd w:id="2"/>
      <w:r>
        <w:rPr>
          <w:rFonts w:hint="eastAsia"/>
          <w:sz w:val="22"/>
          <w:lang w:val="en-US" w:eastAsia="zh-CN"/>
        </w:rPr>
        <w:t xml:space="preserve">  </w:t>
      </w:r>
      <w:bookmarkStart w:id="9" w:name="_GoBack"/>
      <w:bookmarkEnd w:id="9"/>
      <w:r>
        <w:rPr>
          <w:rFonts w:hint="eastAsia"/>
          <w:sz w:val="22"/>
        </w:rPr>
        <w:t>Discussion on the RRM requirement for NTN phase3</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achieved some general agreements for objectives of DL coverage enhancement and support of regenerative payload.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requirements on these two objectives</w:t>
      </w:r>
      <w:r>
        <w:rPr>
          <w:rFonts w:eastAsia="等线"/>
          <w:sz w:val="20"/>
          <w:szCs w:val="20"/>
        </w:rPr>
        <w:t>.</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Downlink coverage enhancements</w:t>
      </w:r>
    </w:p>
    <w:p>
      <w:pPr>
        <w:outlineLvl w:val="9"/>
        <w:rPr>
          <w:rFonts w:hint="eastAsia"/>
          <w:b/>
          <w:i/>
          <w:iCs/>
          <w:sz w:val="20"/>
          <w:szCs w:val="20"/>
          <w:highlight w:val="none"/>
          <w:u w:val="single"/>
          <w:lang w:val="en-US" w:eastAsia="ko-KR"/>
        </w:rPr>
      </w:pPr>
      <w:bookmarkStart w:id="8" w:name="_Hlk147849822"/>
      <w:r>
        <w:rPr>
          <w:rFonts w:hint="eastAsia"/>
          <w:b/>
          <w:i/>
          <w:iCs/>
          <w:sz w:val="20"/>
          <w:szCs w:val="20"/>
          <w:highlight w:val="none"/>
          <w:u w:val="single"/>
          <w:lang w:val="en-US" w:eastAsia="ko-KR"/>
        </w:rPr>
        <w:t>Issue 1-1: SSB periodicity enhancement</w:t>
      </w:r>
    </w:p>
    <w:p>
      <w:pPr>
        <w:outlineLvl w:val="9"/>
        <w:rPr>
          <w:rFonts w:hint="eastAsia"/>
          <w:b/>
          <w:bCs w:val="0"/>
          <w:i/>
          <w:iCs/>
          <w:sz w:val="20"/>
          <w:szCs w:val="20"/>
          <w:highlight w:val="none"/>
          <w:u w:val="none"/>
          <w:lang w:val="en-US" w:eastAsia="ko-KR"/>
        </w:rPr>
      </w:pPr>
      <w:r>
        <w:rPr>
          <w:rFonts w:hint="eastAsia"/>
          <w:b/>
          <w:bCs w:val="0"/>
          <w:i/>
          <w:iCs/>
          <w:sz w:val="20"/>
          <w:szCs w:val="20"/>
          <w:highlight w:val="none"/>
          <w:u w:val="none"/>
          <w:lang w:val="en-US" w:eastAsia="ko-KR"/>
        </w:rPr>
        <w:t>Agreement:</w:t>
      </w:r>
    </w:p>
    <w:p>
      <w:pPr>
        <w:pStyle w:val="75"/>
        <w:numPr>
          <w:ilvl w:val="0"/>
          <w:numId w:val="6"/>
        </w:numPr>
        <w:ind w:left="360" w:firstLineChars="0"/>
        <w:rPr>
          <w:i/>
          <w:iCs/>
          <w:sz w:val="20"/>
          <w:szCs w:val="20"/>
          <w:lang w:eastAsia="ja-JP"/>
        </w:rPr>
      </w:pPr>
      <w:r>
        <w:rPr>
          <w:i/>
          <w:iCs/>
          <w:sz w:val="20"/>
          <w:szCs w:val="20"/>
          <w:lang w:eastAsia="ja-JP"/>
        </w:rPr>
        <w:t>RAN4 to wait for RAN1’s definitive decision on the maximum periodicity of SSB and the range of SMTC before discussing whether and how to modify the relevant RRM requirements</w:t>
      </w:r>
      <w:r>
        <w:rPr>
          <w:rFonts w:hint="eastAsia"/>
          <w:i/>
          <w:iCs/>
          <w:sz w:val="20"/>
          <w:szCs w:val="20"/>
          <w:lang w:eastAsia="ja-JP"/>
        </w:rPr>
        <w:t xml:space="preserve">. FFS </w:t>
      </w:r>
      <w:r>
        <w:rPr>
          <w:i/>
          <w:iCs/>
          <w:sz w:val="20"/>
          <w:szCs w:val="20"/>
          <w:lang w:eastAsia="ja-JP"/>
        </w:rPr>
        <w:t>on the detailed list of RRM requirements to be affected</w:t>
      </w:r>
      <w:r>
        <w:rPr>
          <w:rFonts w:hint="eastAsia"/>
          <w:i/>
          <w:iCs/>
          <w:sz w:val="20"/>
          <w:szCs w:val="20"/>
          <w:lang w:eastAsia="ja-JP"/>
        </w:rPr>
        <w:t>, e.g.,</w:t>
      </w:r>
    </w:p>
    <w:p>
      <w:pPr>
        <w:pStyle w:val="75"/>
        <w:numPr>
          <w:ilvl w:val="1"/>
          <w:numId w:val="6"/>
        </w:numPr>
        <w:ind w:firstLineChars="0"/>
        <w:rPr>
          <w:i/>
          <w:iCs/>
          <w:sz w:val="20"/>
          <w:szCs w:val="20"/>
          <w:lang w:eastAsia="ja-JP"/>
        </w:rPr>
      </w:pPr>
      <w:r>
        <w:rPr>
          <w:rFonts w:hint="eastAsia"/>
          <w:i/>
          <w:iCs/>
          <w:sz w:val="20"/>
          <w:szCs w:val="20"/>
          <w:lang w:eastAsia="ja-JP"/>
        </w:rPr>
        <w:t xml:space="preserve">uplink timing requirements, RRM requirements during transmission between different SSB periodicities, default assumption on the SSB and SMTC periodicities in handover/satellite </w:t>
      </w:r>
      <w:r>
        <w:rPr>
          <w:i/>
          <w:iCs/>
          <w:sz w:val="20"/>
          <w:szCs w:val="20"/>
          <w:lang w:eastAsia="ja-JP"/>
        </w:rPr>
        <w:t>switch</w:t>
      </w:r>
      <w:r>
        <w:rPr>
          <w:rFonts w:hint="eastAsia"/>
          <w:i/>
          <w:iCs/>
          <w:sz w:val="20"/>
          <w:szCs w:val="20"/>
          <w:lang w:eastAsia="ja-JP"/>
        </w:rPr>
        <w:t xml:space="preserve"> with re-sync/RRC re-establishment/RRC connection release with redirection, cell </w:t>
      </w:r>
      <w:r>
        <w:rPr>
          <w:i/>
          <w:iCs/>
          <w:sz w:val="20"/>
          <w:szCs w:val="20"/>
          <w:lang w:eastAsia="ja-JP"/>
        </w:rPr>
        <w:t>identification</w:t>
      </w:r>
      <w:r>
        <w:rPr>
          <w:rFonts w:hint="eastAsia"/>
          <w:i/>
          <w:iCs/>
          <w:sz w:val="20"/>
          <w:szCs w:val="20"/>
          <w:lang w:eastAsia="ja-JP"/>
        </w:rPr>
        <w:t>, measurements, etc.</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downlink coverage enhancements, following further agreement from RAN1 has been achieved in last meeting, we list here for information:</w:t>
      </w:r>
    </w:p>
    <w:tbl>
      <w:tblPr>
        <w:tblStyle w:val="21"/>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5" w:type="dxa"/>
          </w:tcPr>
          <w:p>
            <w:pPr>
              <w:rPr>
                <w:rFonts w:hint="default" w:ascii="Times New Roman" w:hAnsi="Times New Roman" w:eastAsiaTheme="minorEastAsia"/>
                <w:b/>
                <w:bCs w:val="0"/>
                <w:sz w:val="20"/>
                <w:szCs w:val="15"/>
                <w:lang w:val="en-US" w:eastAsia="zh-CN"/>
              </w:rPr>
            </w:pPr>
            <w:r>
              <w:rPr>
                <w:rFonts w:ascii="Times New Roman" w:hAnsi="Times New Roman"/>
                <w:b/>
                <w:bCs w:val="0"/>
                <w:sz w:val="20"/>
                <w:szCs w:val="15"/>
                <w:highlight w:val="green"/>
              </w:rPr>
              <w:t>Agreement</w:t>
            </w:r>
            <w:r>
              <w:rPr>
                <w:rFonts w:hint="eastAsia"/>
                <w:b/>
                <w:bCs w:val="0"/>
                <w:sz w:val="20"/>
                <w:szCs w:val="15"/>
                <w:highlight w:val="green"/>
                <w:lang w:val="en-US" w:eastAsia="zh-CN"/>
              </w:rPr>
              <w:t xml:space="preserve"> from RAN1</w:t>
            </w:r>
          </w:p>
          <w:p>
            <w:pPr>
              <w:rPr>
                <w:rFonts w:ascii="Times New Roman" w:hAnsi="Times New Roman"/>
                <w:sz w:val="20"/>
                <w:szCs w:val="15"/>
              </w:rPr>
            </w:pPr>
            <w:r>
              <w:rPr>
                <w:rFonts w:ascii="Times New Roman" w:hAnsi="Times New Roman"/>
                <w:sz w:val="20"/>
                <w:szCs w:val="15"/>
              </w:rPr>
              <w:t xml:space="preserve">For NR NTN, support extended periodicity of the half frames with SS/PBCH blocks assumed by UE during initial access. </w:t>
            </w:r>
          </w:p>
          <w:p>
            <w:pPr>
              <w:numPr>
                <w:ilvl w:val="0"/>
                <w:numId w:val="7"/>
              </w:numPr>
              <w:suppressAutoHyphens/>
              <w:rPr>
                <w:rFonts w:ascii="Times New Roman" w:hAnsi="Times New Roman"/>
                <w:sz w:val="20"/>
                <w:szCs w:val="15"/>
                <w:lang w:eastAsia="zh-CN"/>
              </w:rPr>
            </w:pPr>
            <w:r>
              <w:rPr>
                <w:rFonts w:ascii="Times New Roman" w:hAnsi="Times New Roman"/>
                <w:sz w:val="20"/>
                <w:szCs w:val="15"/>
                <w:lang w:eastAsia="zh-CN"/>
              </w:rPr>
              <w:t>The maximum of the additional default value (apart from the existing 20ms value) is at least 160ms.</w:t>
            </w:r>
          </w:p>
          <w:p>
            <w:pPr>
              <w:numPr>
                <w:ilvl w:val="1"/>
                <w:numId w:val="7"/>
              </w:numPr>
              <w:suppressAutoHyphens/>
              <w:rPr>
                <w:rFonts w:hint="default"/>
                <w:kern w:val="2"/>
                <w:sz w:val="20"/>
                <w:szCs w:val="20"/>
                <w:vertAlign w:val="baseline"/>
                <w:lang w:val="en-US" w:eastAsia="zh-CN"/>
              </w:rPr>
            </w:pPr>
            <w:r>
              <w:rPr>
                <w:rFonts w:ascii="Times New Roman" w:hAnsi="Times New Roman"/>
                <w:sz w:val="20"/>
                <w:szCs w:val="15"/>
                <w:lang w:eastAsia="zh-CN"/>
              </w:rPr>
              <w:t>FFS: whether 320ms can be supported as the maximum of the additional default value instead of or in addition to 160ms.</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RAN1 agreed to consider extending the periodicity of the half frames with SS/PBCH blocks assumed by UE during initial access, </w:t>
      </w:r>
      <w:r>
        <w:rPr>
          <w:rFonts w:ascii="Times New Roman" w:hAnsi="Times New Roman"/>
          <w:sz w:val="20"/>
          <w:szCs w:val="15"/>
          <w:lang w:eastAsia="zh-CN"/>
        </w:rPr>
        <w:t>maximum of the additional default value (apart from the existing 20ms value) is at least 160ms</w:t>
      </w:r>
      <w:r>
        <w:rPr>
          <w:rFonts w:hint="eastAsia"/>
          <w:sz w:val="20"/>
          <w:szCs w:val="15"/>
          <w:lang w:val="en-US" w:eastAsia="zh-CN"/>
        </w:rPr>
        <w:t xml:space="preserve"> so far</w:t>
      </w:r>
      <w:r>
        <w:rPr>
          <w:rFonts w:hint="eastAsia"/>
          <w:kern w:val="2"/>
          <w:sz w:val="20"/>
          <w:szCs w:val="20"/>
          <w:lang w:val="en-US" w:eastAsia="zh-CN"/>
        </w:rPr>
        <w:t>. If 320ms will be finally supported by RAN1, RAN2 will extend the SMTC, MG and so on correspondingly.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If RAN1/2 will extend the SSB/SMTC/MG periodicity larger than 320ms (the smallest DRX cycle), then almost all RRM requirements will be impacted including IDLE/Inactive mode and connected mode, such as: cell (re)-selection, L3 measurement, L1 measurement and so on. While if the extended SSB/SMTC/MG periodicity will not larger than 320ms, we think most of current requirements can be reused.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Observation 1: Almost all RRM requirements will be impacted if RAN1/2 will extend the SSB/SMTC/MG periodicity larger than 320ms (the smallest 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Since the extension of the SSB periodicity is still under RAN1’s discussion, RAN4 can wait for more progress from RAN1/2.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RAN4 to wait for more progress from RAN1/2 on SSB periodicity extension</w:t>
      </w:r>
    </w:p>
    <w:p>
      <w:pPr>
        <w:outlineLvl w:val="9"/>
        <w:rPr>
          <w:rFonts w:hint="default"/>
          <w:lang w:val="en-US" w:eastAsia="zh-CN"/>
        </w:rPr>
      </w:pPr>
    </w:p>
    <w:p>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 xml:space="preserve"> </w:t>
      </w:r>
      <w:r>
        <w:rPr>
          <w:rFonts w:hint="eastAsia" w:ascii="Times New Roman" w:hAnsi="Times New Roman"/>
          <w:b w:val="0"/>
          <w:bCs w:val="0"/>
          <w:kern w:val="0"/>
          <w:sz w:val="36"/>
          <w:szCs w:val="36"/>
          <w:lang w:val="en-US" w:eastAsia="zh-CN"/>
        </w:rPr>
        <w:t>S</w:t>
      </w:r>
      <w:r>
        <w:rPr>
          <w:rFonts w:hint="eastAsia" w:ascii="Times New Roman" w:hAnsi="Times New Roman"/>
          <w:b w:val="0"/>
          <w:bCs w:val="0"/>
          <w:kern w:val="0"/>
          <w:sz w:val="36"/>
          <w:szCs w:val="36"/>
          <w:lang w:val="en-US" w:eastAsia="ko-KR"/>
        </w:rPr>
        <w:t>upport of regenerative payload</w:t>
      </w: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 xml:space="preserve">Issue 2-2: </w:t>
      </w:r>
      <w:r>
        <w:rPr>
          <w:rFonts w:hint="eastAsia"/>
          <w:b/>
          <w:i/>
          <w:iCs/>
          <w:sz w:val="20"/>
          <w:szCs w:val="20"/>
          <w:highlight w:val="none"/>
          <w:u w:val="single"/>
          <w:lang w:val="en-US" w:eastAsia="zh-CN"/>
        </w:rPr>
        <w:t>Mobility requirements</w:t>
      </w:r>
    </w:p>
    <w:p>
      <w:pPr>
        <w:outlineLvl w:val="9"/>
        <w:rPr>
          <w:rFonts w:hint="eastAsia"/>
          <w:b/>
          <w:bCs w:val="0"/>
          <w:i/>
          <w:iCs/>
          <w:sz w:val="20"/>
          <w:szCs w:val="20"/>
          <w:highlight w:val="none"/>
          <w:u w:val="none"/>
          <w:lang w:val="en-US" w:eastAsia="ko-KR"/>
        </w:rPr>
      </w:pPr>
      <w:r>
        <w:rPr>
          <w:rFonts w:hint="eastAsia"/>
          <w:b/>
          <w:bCs w:val="0"/>
          <w:i/>
          <w:iCs/>
          <w:sz w:val="20"/>
          <w:szCs w:val="20"/>
          <w:highlight w:val="none"/>
          <w:u w:val="none"/>
          <w:lang w:val="en-US" w:eastAsia="ko-KR"/>
        </w:rPr>
        <w:t>Agreement:</w:t>
      </w:r>
    </w:p>
    <w:p>
      <w:pPr>
        <w:numPr>
          <w:ilvl w:val="0"/>
          <w:numId w:val="8"/>
        </w:numPr>
        <w:spacing w:after="120"/>
        <w:ind w:left="720"/>
        <w:contextualSpacing w:val="0"/>
        <w:rPr>
          <w:rFonts w:hint="eastAsia" w:ascii="Times New Roman" w:hAnsi="Times New Roman" w:eastAsia="宋体" w:cs="Times New Roman"/>
          <w:i/>
          <w:iCs/>
          <w:sz w:val="20"/>
          <w:szCs w:val="20"/>
          <w:lang w:val="en-US" w:eastAsia="ja-JP" w:bidi="ar-SA"/>
        </w:rPr>
      </w:pPr>
      <w:r>
        <w:rPr>
          <w:rFonts w:hint="eastAsia" w:ascii="Times New Roman" w:hAnsi="Times New Roman" w:eastAsia="宋体" w:cs="Times New Roman"/>
          <w:i/>
          <w:iCs/>
          <w:sz w:val="20"/>
          <w:szCs w:val="20"/>
          <w:lang w:val="en-US" w:eastAsia="ko-KR" w:bidi="ar-SA"/>
        </w:rPr>
        <w:t>For those requirements not applicable for regenerative payload NTN systems, if any, RAN4 to add an explicit statement to TS38.133 to clarify their applicability to regenerative payload NTN systems. FFS on the exact text and clause(s) for such clarifications.</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According to the RAN plenary progress, satellite switching with re-sync over Regenerative Architecture will not be pursued in REL-19. Therefore, the requirement of satellite switching with re-sync will not be applied for NTN regenerative mode.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2: The requirement of satellite switching with re-sync will not be applied for NTN regenerative mode. </w:t>
      </w:r>
    </w:p>
    <w:p>
      <w:pPr>
        <w:outlineLvl w:val="9"/>
        <w:rPr>
          <w:rFonts w:hint="eastAsia"/>
          <w:b/>
          <w:i/>
          <w:iCs/>
          <w:sz w:val="20"/>
          <w:szCs w:val="20"/>
          <w:highlight w:val="none"/>
          <w:u w:val="single"/>
          <w:lang w:val="en-US" w:eastAsia="zh-CN"/>
        </w:rPr>
      </w:pPr>
    </w:p>
    <w:bookmarkEnd w:id="5"/>
    <w:bookmarkEnd w:id="8"/>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Observation 1: Almost all RRM requirements will be impacted if RAN1/2 will extend the SSB/SMTC/MG periodicity larger than 320ms (the smallest 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RAN4 to wait for more progress from RAN1/2 on SSB periodicity extension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2: The requirement of satellite switching with re-sync will not be applied for NTN regenerative mode. </w:t>
      </w:r>
    </w:p>
    <w:p>
      <w:pPr>
        <w:spacing w:before="60"/>
        <w:rPr>
          <w:sz w:val="20"/>
          <w:szCs w:val="20"/>
        </w:rPr>
      </w:pP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9"/>
        </w:numPr>
        <w:rPr>
          <w:rFonts w:hint="default" w:eastAsiaTheme="minorEastAsia"/>
          <w:sz w:val="20"/>
          <w:szCs w:val="20"/>
          <w:lang w:val="en-US" w:eastAsia="zh-CN"/>
        </w:rPr>
      </w:pPr>
      <w:r>
        <w:rPr>
          <w:rFonts w:hint="eastAsia"/>
          <w:sz w:val="20"/>
          <w:szCs w:val="20"/>
          <w:lang w:val="en-US" w:eastAsia="zh-CN"/>
        </w:rPr>
        <w:t>R4-2416866, WF on RRM requirements for NR_NTN_Ph3_Part2, Moderator (Qualcomm Incorporated)</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lang w:val="en-U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3">
    <w:nsid w:val="59ADCABA"/>
    <w:multiLevelType w:val="multilevel"/>
    <w:tmpl w:val="59ADCAB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5">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79EE624D"/>
    <w:multiLevelType w:val="singleLevel"/>
    <w:tmpl w:val="79EE624D"/>
    <w:lvl w:ilvl="0" w:tentative="0">
      <w:start w:val="1"/>
      <w:numFmt w:val="decimal"/>
      <w:suff w:val="space"/>
      <w:lvlText w:val="[%1]"/>
      <w:lvlJc w:val="left"/>
    </w:lvl>
  </w:abstractNum>
  <w:num w:numId="1">
    <w:abstractNumId w:val="7"/>
  </w:num>
  <w:num w:numId="2">
    <w:abstractNumId w:val="5"/>
  </w:num>
  <w:num w:numId="3">
    <w:abstractNumId w:val="1"/>
  </w:num>
  <w:num w:numId="4">
    <w:abstractNumId w:val="6"/>
  </w:num>
  <w:num w:numId="5">
    <w:abstractNumId w:val="0"/>
  </w:num>
  <w:num w:numId="6">
    <w:abstractNumId w:val="4"/>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2875BA"/>
    <w:rsid w:val="04027B7C"/>
    <w:rsid w:val="04270E0A"/>
    <w:rsid w:val="04F14AC0"/>
    <w:rsid w:val="05E842A2"/>
    <w:rsid w:val="061C4A75"/>
    <w:rsid w:val="06830D3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E74B6B"/>
    <w:rsid w:val="135D091C"/>
    <w:rsid w:val="1381490C"/>
    <w:rsid w:val="144E60BA"/>
    <w:rsid w:val="14704788"/>
    <w:rsid w:val="14B343FF"/>
    <w:rsid w:val="14E90996"/>
    <w:rsid w:val="155A08C9"/>
    <w:rsid w:val="16F963FC"/>
    <w:rsid w:val="17F40229"/>
    <w:rsid w:val="17F76EF9"/>
    <w:rsid w:val="18572D14"/>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203F5164"/>
    <w:rsid w:val="20741BCD"/>
    <w:rsid w:val="21E6327B"/>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F06898"/>
    <w:rsid w:val="29F41202"/>
    <w:rsid w:val="2A1C7136"/>
    <w:rsid w:val="2A52567F"/>
    <w:rsid w:val="2AD63ADB"/>
    <w:rsid w:val="2B2D51E0"/>
    <w:rsid w:val="2CCE420F"/>
    <w:rsid w:val="2CCE7A93"/>
    <w:rsid w:val="2D3C0CBF"/>
    <w:rsid w:val="2D480610"/>
    <w:rsid w:val="2E177608"/>
    <w:rsid w:val="2E285745"/>
    <w:rsid w:val="2E5D0DE0"/>
    <w:rsid w:val="2E954754"/>
    <w:rsid w:val="2EBB7CD6"/>
    <w:rsid w:val="2ECD6A4D"/>
    <w:rsid w:val="2F1F43E1"/>
    <w:rsid w:val="2F28060A"/>
    <w:rsid w:val="2FF748E5"/>
    <w:rsid w:val="302A3B16"/>
    <w:rsid w:val="30A75F51"/>
    <w:rsid w:val="30B631AE"/>
    <w:rsid w:val="311C418B"/>
    <w:rsid w:val="312A6EA1"/>
    <w:rsid w:val="314F1B30"/>
    <w:rsid w:val="33106379"/>
    <w:rsid w:val="33417212"/>
    <w:rsid w:val="339A6C60"/>
    <w:rsid w:val="33A629ED"/>
    <w:rsid w:val="33C33478"/>
    <w:rsid w:val="33CE3940"/>
    <w:rsid w:val="33E2308C"/>
    <w:rsid w:val="33FF585B"/>
    <w:rsid w:val="34C969B6"/>
    <w:rsid w:val="35CB3800"/>
    <w:rsid w:val="36081486"/>
    <w:rsid w:val="3620464F"/>
    <w:rsid w:val="36267311"/>
    <w:rsid w:val="36ED2DC2"/>
    <w:rsid w:val="38616D76"/>
    <w:rsid w:val="3B1D4D3A"/>
    <w:rsid w:val="3B1E11F2"/>
    <w:rsid w:val="3B2E7C35"/>
    <w:rsid w:val="3B3261DC"/>
    <w:rsid w:val="3BCD3BF3"/>
    <w:rsid w:val="3BE87C7E"/>
    <w:rsid w:val="3C1B0BDA"/>
    <w:rsid w:val="3C1C2A58"/>
    <w:rsid w:val="3C3F629C"/>
    <w:rsid w:val="3CC57762"/>
    <w:rsid w:val="3D2E150D"/>
    <w:rsid w:val="3D774C98"/>
    <w:rsid w:val="3DA924E0"/>
    <w:rsid w:val="3DD26E51"/>
    <w:rsid w:val="3DFE15C4"/>
    <w:rsid w:val="3FFA159D"/>
    <w:rsid w:val="4028093E"/>
    <w:rsid w:val="40A203D0"/>
    <w:rsid w:val="41021CB6"/>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0D30A7"/>
    <w:rsid w:val="4C740FBB"/>
    <w:rsid w:val="4CB32D3F"/>
    <w:rsid w:val="4D2C3744"/>
    <w:rsid w:val="4D9828FA"/>
    <w:rsid w:val="4DF73079"/>
    <w:rsid w:val="4E222F58"/>
    <w:rsid w:val="4E63642D"/>
    <w:rsid w:val="4E734BC1"/>
    <w:rsid w:val="4EEE3525"/>
    <w:rsid w:val="4F4A5D3D"/>
    <w:rsid w:val="4FA71C42"/>
    <w:rsid w:val="4FB04A43"/>
    <w:rsid w:val="4FBE626D"/>
    <w:rsid w:val="50047D3F"/>
    <w:rsid w:val="50803E7A"/>
    <w:rsid w:val="50D16751"/>
    <w:rsid w:val="50FC4159"/>
    <w:rsid w:val="52387E00"/>
    <w:rsid w:val="52657DC0"/>
    <w:rsid w:val="52A02608"/>
    <w:rsid w:val="53046661"/>
    <w:rsid w:val="53F344DD"/>
    <w:rsid w:val="53F34D30"/>
    <w:rsid w:val="54141C5F"/>
    <w:rsid w:val="5415308F"/>
    <w:rsid w:val="559303C8"/>
    <w:rsid w:val="56902820"/>
    <w:rsid w:val="56D73D29"/>
    <w:rsid w:val="56D805CB"/>
    <w:rsid w:val="57252D4C"/>
    <w:rsid w:val="585C7AD6"/>
    <w:rsid w:val="587E7112"/>
    <w:rsid w:val="58B90AAC"/>
    <w:rsid w:val="58D33E46"/>
    <w:rsid w:val="59804317"/>
    <w:rsid w:val="5A3916BC"/>
    <w:rsid w:val="5A5554D1"/>
    <w:rsid w:val="5ACB668C"/>
    <w:rsid w:val="5AD564E3"/>
    <w:rsid w:val="5B4F5A23"/>
    <w:rsid w:val="5B9A48FE"/>
    <w:rsid w:val="5BE54260"/>
    <w:rsid w:val="5C03165A"/>
    <w:rsid w:val="5D0B6B17"/>
    <w:rsid w:val="5DDA7DC0"/>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91B52"/>
    <w:rsid w:val="678F7D1C"/>
    <w:rsid w:val="67B02672"/>
    <w:rsid w:val="67F34F90"/>
    <w:rsid w:val="67FA6925"/>
    <w:rsid w:val="68F9738C"/>
    <w:rsid w:val="690A41ED"/>
    <w:rsid w:val="6950210B"/>
    <w:rsid w:val="69B84930"/>
    <w:rsid w:val="6AA1751A"/>
    <w:rsid w:val="6B3773F6"/>
    <w:rsid w:val="6B695BBB"/>
    <w:rsid w:val="6CD75013"/>
    <w:rsid w:val="6D72001A"/>
    <w:rsid w:val="6D790A61"/>
    <w:rsid w:val="6E7D749A"/>
    <w:rsid w:val="6EC018FE"/>
    <w:rsid w:val="6F150A16"/>
    <w:rsid w:val="6FAC37F7"/>
    <w:rsid w:val="6FD518E1"/>
    <w:rsid w:val="709A16D4"/>
    <w:rsid w:val="70B558FD"/>
    <w:rsid w:val="7191735E"/>
    <w:rsid w:val="722B0C34"/>
    <w:rsid w:val="738E763D"/>
    <w:rsid w:val="74521C25"/>
    <w:rsid w:val="74BC07DB"/>
    <w:rsid w:val="7530247A"/>
    <w:rsid w:val="759978CC"/>
    <w:rsid w:val="762E3794"/>
    <w:rsid w:val="76320D9A"/>
    <w:rsid w:val="76871284"/>
    <w:rsid w:val="769367A2"/>
    <w:rsid w:val="77DC6BAC"/>
    <w:rsid w:val="77EA2826"/>
    <w:rsid w:val="77EB1A53"/>
    <w:rsid w:val="78833509"/>
    <w:rsid w:val="78DE7EBE"/>
    <w:rsid w:val="79497FA2"/>
    <w:rsid w:val="799A470F"/>
    <w:rsid w:val="7A496371"/>
    <w:rsid w:val="7A8B7C93"/>
    <w:rsid w:val="7B0E64C9"/>
    <w:rsid w:val="7B3426D8"/>
    <w:rsid w:val="7C1A4147"/>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0</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2024-11-08T07:52:34Z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